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2946" w14:textId="2A7F9C88" w:rsidR="00E45E02" w:rsidRPr="00586430" w:rsidRDefault="00E45E02" w:rsidP="00E45E02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2020-2021 EĞİTİM – ÖĞRETİM YILI ................ OKULU 7. SINIFLAR  FEN BİLİMLERİ DERSİ GÜNLÜK DERS PLÂNI</w:t>
      </w:r>
    </w:p>
    <w:p w14:paraId="1A033EBF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4257"/>
        <w:gridCol w:w="3822"/>
      </w:tblGrid>
      <w:tr w:rsidR="00586430" w:rsidRPr="00586430" w14:paraId="20AFF83B" w14:textId="77777777" w:rsidTr="00EC64D7">
        <w:trPr>
          <w:trHeight w:val="263"/>
          <w:jc w:val="center"/>
        </w:trPr>
        <w:tc>
          <w:tcPr>
            <w:tcW w:w="2384" w:type="dxa"/>
          </w:tcPr>
          <w:p w14:paraId="098ADBF0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274" w:type="dxa"/>
          </w:tcPr>
          <w:p w14:paraId="2F2442A8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837" w:type="dxa"/>
          </w:tcPr>
          <w:p w14:paraId="1D1DF0EA" w14:textId="51366898" w:rsidR="00E45E02" w:rsidRPr="00586430" w:rsidRDefault="00343EB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15-21</w:t>
            </w:r>
            <w:r w:rsidR="00E45E02"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MART 2021</w:t>
            </w:r>
          </w:p>
        </w:tc>
      </w:tr>
      <w:tr w:rsidR="00586430" w:rsidRPr="00586430" w14:paraId="67B98C29" w14:textId="77777777" w:rsidTr="00EC64D7">
        <w:trPr>
          <w:trHeight w:val="278"/>
          <w:jc w:val="center"/>
        </w:trPr>
        <w:tc>
          <w:tcPr>
            <w:tcW w:w="2384" w:type="dxa"/>
          </w:tcPr>
          <w:p w14:paraId="19D2C44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112" w:type="dxa"/>
            <w:gridSpan w:val="2"/>
          </w:tcPr>
          <w:p w14:paraId="45BFBCC4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586430" w:rsidRPr="00586430" w14:paraId="32203014" w14:textId="77777777" w:rsidTr="00EC64D7">
        <w:trPr>
          <w:trHeight w:val="263"/>
          <w:jc w:val="center"/>
        </w:trPr>
        <w:tc>
          <w:tcPr>
            <w:tcW w:w="2384" w:type="dxa"/>
          </w:tcPr>
          <w:p w14:paraId="5442DC62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112" w:type="dxa"/>
            <w:gridSpan w:val="2"/>
          </w:tcPr>
          <w:p w14:paraId="240D6D20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5. Ünite: Işığın Madde ile Etkileşimi</w:t>
            </w:r>
          </w:p>
        </w:tc>
      </w:tr>
      <w:tr w:rsidR="00586430" w:rsidRPr="00586430" w14:paraId="187444FF" w14:textId="77777777" w:rsidTr="00EC64D7">
        <w:trPr>
          <w:trHeight w:val="278"/>
          <w:jc w:val="center"/>
        </w:trPr>
        <w:tc>
          <w:tcPr>
            <w:tcW w:w="2384" w:type="dxa"/>
          </w:tcPr>
          <w:p w14:paraId="17E145BC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112" w:type="dxa"/>
            <w:gridSpan w:val="2"/>
          </w:tcPr>
          <w:p w14:paraId="383D084D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Işığın Soğurulması</w:t>
            </w:r>
          </w:p>
        </w:tc>
      </w:tr>
      <w:tr w:rsidR="00586430" w:rsidRPr="00586430" w14:paraId="3BFCB436" w14:textId="77777777" w:rsidTr="00EC64D7">
        <w:trPr>
          <w:trHeight w:val="278"/>
          <w:jc w:val="center"/>
        </w:trPr>
        <w:tc>
          <w:tcPr>
            <w:tcW w:w="2384" w:type="dxa"/>
          </w:tcPr>
          <w:p w14:paraId="3F87A80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112" w:type="dxa"/>
            <w:gridSpan w:val="2"/>
          </w:tcPr>
          <w:p w14:paraId="5244FF23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689A54EE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517042B5" w14:textId="77777777" w:rsidTr="00440F7E">
        <w:trPr>
          <w:trHeight w:val="733"/>
          <w:jc w:val="center"/>
        </w:trPr>
        <w:tc>
          <w:tcPr>
            <w:tcW w:w="2405" w:type="dxa"/>
            <w:vAlign w:val="center"/>
          </w:tcPr>
          <w:p w14:paraId="03B91C16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051" w:type="dxa"/>
          </w:tcPr>
          <w:p w14:paraId="216E54AA" w14:textId="77777777" w:rsidR="00E45E02" w:rsidRPr="00586430" w:rsidRDefault="00440F7E" w:rsidP="00EC64D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7.5.1.3.</w:t>
            </w: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ab/>
              <w:t>Gözlemleri sonucunda cisimlerin, siyah, beyaz ve renkli görünmesinin nedenini, ışığın yansıması ve soğurulmasıyla ilişkilendirir.</w:t>
            </w:r>
          </w:p>
          <w:p w14:paraId="484D1D77" w14:textId="30BF2F99" w:rsidR="00440F7E" w:rsidRPr="00586430" w:rsidRDefault="00440F7E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7.5.1.4.</w:t>
            </w: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ab/>
              <w:t>Güneş enerjisinin günlük yaşam ve teknolojideki yenilikçi uygulamalarına örnekler verir.</w:t>
            </w:r>
          </w:p>
        </w:tc>
      </w:tr>
      <w:tr w:rsidR="00586430" w:rsidRPr="00586430" w14:paraId="7C56E0BE" w14:textId="77777777" w:rsidTr="00440F7E">
        <w:trPr>
          <w:trHeight w:val="922"/>
          <w:jc w:val="center"/>
        </w:trPr>
        <w:tc>
          <w:tcPr>
            <w:tcW w:w="2405" w:type="dxa"/>
            <w:vAlign w:val="center"/>
          </w:tcPr>
          <w:p w14:paraId="5ABC09D8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051" w:type="dxa"/>
          </w:tcPr>
          <w:p w14:paraId="7AD2997A" w14:textId="68FE504E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Işığın soğurulması, cisimlerin siyah, beyaz ve renkli görünmesi, güneş enerjisi</w:t>
            </w:r>
          </w:p>
        </w:tc>
      </w:tr>
      <w:tr w:rsidR="00586430" w:rsidRPr="00586430" w14:paraId="68C36B96" w14:textId="77777777" w:rsidTr="00440F7E">
        <w:trPr>
          <w:trHeight w:val="413"/>
          <w:jc w:val="center"/>
        </w:trPr>
        <w:tc>
          <w:tcPr>
            <w:tcW w:w="2405" w:type="dxa"/>
            <w:vAlign w:val="center"/>
          </w:tcPr>
          <w:p w14:paraId="2BF8C9F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051" w:type="dxa"/>
          </w:tcPr>
          <w:p w14:paraId="0267F234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Anlatım, Soru Cevap, Rol Yapma, Grup Çalışması</w:t>
            </w:r>
          </w:p>
        </w:tc>
      </w:tr>
      <w:tr w:rsidR="00586430" w:rsidRPr="00586430" w14:paraId="0A45A675" w14:textId="77777777" w:rsidTr="00440F7E">
        <w:trPr>
          <w:trHeight w:val="755"/>
          <w:jc w:val="center"/>
        </w:trPr>
        <w:tc>
          <w:tcPr>
            <w:tcW w:w="2405" w:type="dxa"/>
            <w:vAlign w:val="center"/>
          </w:tcPr>
          <w:p w14:paraId="2C034A43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051" w:type="dxa"/>
          </w:tcPr>
          <w:p w14:paraId="1544C4FC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586430" w:rsidRPr="00586430" w14:paraId="6BE92659" w14:textId="77777777" w:rsidTr="00440F7E">
        <w:trPr>
          <w:trHeight w:val="755"/>
          <w:jc w:val="center"/>
        </w:trPr>
        <w:tc>
          <w:tcPr>
            <w:tcW w:w="2405" w:type="dxa"/>
            <w:vAlign w:val="center"/>
          </w:tcPr>
          <w:p w14:paraId="2D0F7EBE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051" w:type="dxa"/>
          </w:tcPr>
          <w:p w14:paraId="710691F1" w14:textId="77777777" w:rsidR="00440F7E" w:rsidRPr="00586430" w:rsidRDefault="00440F7E" w:rsidP="00440F7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Renk filtrelerine girilmez.</w:t>
            </w:r>
          </w:p>
          <w:p w14:paraId="467E0741" w14:textId="2419AC7C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Kaynakların etkili kullanımı bakımından güneş enerjisinin önemi vurgulanır.</w:t>
            </w:r>
          </w:p>
        </w:tc>
      </w:tr>
      <w:tr w:rsidR="00586430" w:rsidRPr="00586430" w14:paraId="15C79227" w14:textId="77777777" w:rsidTr="00440F7E">
        <w:trPr>
          <w:trHeight w:val="699"/>
          <w:jc w:val="center"/>
        </w:trPr>
        <w:tc>
          <w:tcPr>
            <w:tcW w:w="2405" w:type="dxa"/>
            <w:vAlign w:val="center"/>
          </w:tcPr>
          <w:p w14:paraId="6A710716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051" w:type="dxa"/>
          </w:tcPr>
          <w:p w14:paraId="0D29C06B" w14:textId="77777777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586430" w:rsidRPr="00586430" w14:paraId="2451A639" w14:textId="77777777" w:rsidTr="00440F7E">
        <w:trPr>
          <w:trHeight w:val="834"/>
          <w:jc w:val="center"/>
        </w:trPr>
        <w:tc>
          <w:tcPr>
            <w:tcW w:w="2405" w:type="dxa"/>
            <w:vAlign w:val="center"/>
          </w:tcPr>
          <w:p w14:paraId="243EAE5F" w14:textId="77777777" w:rsidR="00440F7E" w:rsidRPr="00586430" w:rsidRDefault="00440F7E" w:rsidP="00440F7E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051" w:type="dxa"/>
            <w:vAlign w:val="center"/>
          </w:tcPr>
          <w:p w14:paraId="76800A7C" w14:textId="77777777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color w:val="000000" w:themeColor="text1"/>
                <w:sz w:val="20"/>
                <w:szCs w:val="20"/>
                <w:lang w:eastAsia="en-US"/>
              </w:rPr>
              <w:t>Işık Renkleri</w:t>
            </w:r>
          </w:p>
          <w:p w14:paraId="7980A521" w14:textId="2B95E0D8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Güneş’ten gelen ışık beyaz ışık olarak adlandırılır ve tüm ışık renklerinin birleşmesinden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oluşur. Beyaz ışığı oluşturan renklerden kırmızı, yeşil ve mavi ana ışık renkleri ya da temel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 renkleri olarak tanımlanır ve bu üç rengin birleşmesi beyaz ışığı oluşturur. Diğer tüm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renkler de bu ışık renklerinin aynı ya da farklı miktarlarda birleşmesi ile oluşur. Bunun gibi,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ana renkleri oluşturan magenta, sarı ve cyan renkleri birleştirildiğine de yine beyaz ışık elde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edilir. Hatta tüm ışık renkleri aradaki farklı tonlarına kadar açılabilir. Ama sonuç olarak tüm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 renkleri birleştiğinde beyaz ışık elde edilir. Aşağıdaki resimde ana renkler ve bu ana</w:t>
            </w:r>
          </w:p>
          <w:p w14:paraId="0F9BDE0B" w14:textId="77777777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renklerin eşit miktarda birleşmesi ile oluşan ara renkler ve tüm renklerin birleşmesi ile oluşanbeyaz ışığın gösterimi verilmiştir.</w:t>
            </w:r>
          </w:p>
          <w:p w14:paraId="7C52C2D7" w14:textId="77777777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56228C68" wp14:editId="1897D01A">
                  <wp:extent cx="2398980" cy="2257425"/>
                  <wp:effectExtent l="0" t="0" r="1905" b="0"/>
                  <wp:docPr id="5" name="Resim 5" descr="Işığın Soğrulması | fennotlar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şığın Soğrulması | fennotlar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841" cy="226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A8699" w14:textId="77777777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  <w:t>Maddelerin Renkli Görünmesi</w:t>
            </w:r>
          </w:p>
          <w:p w14:paraId="70313048" w14:textId="78699546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Çevremizde gördüğümüz tüm maddeleri üzerlerine gelen ışığı yansıttıklarından dolayıgörürüz. Ortamda ışık yoksa maddelerden yansıyan ışık olmaz ve maddeleri göremeyiz. Aynı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şekilde, maddelerin farklı renklerde görülmesi yansıttıkları ışık renklerine bağlıdır.</w:t>
            </w:r>
          </w:p>
          <w:p w14:paraId="523ACAE5" w14:textId="6C07561C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Bir madde ya da cisim, üzerine gelen beyaz ışığın tümünü yansıtıyorsa beyaz, hiç birini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yansıtmıyor ve gelen tüm ışık renklerini soğuruyorsa siyah görünür. Mavi ve yeşili soğurup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kırmızıyı yansıtıyorsa kırmızı, kırmızı ve yeşili soğurup maviyi yansıtıyorsa mavi, kırmızı vemaviyi soğurup yeşili yansıtıyorsa yeşil renk görünür. Ayrıca bir madde, üzerine gelen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ışıktaki kırmızı ve yeşili yansıtıyorsa bu iki rengin karışımı olan sarı, mavi ve yeşili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yansıtıyorsa bu iki rengin karışımı olan cyan, kırmızı ve maviyi yansıtıyorsa bu iki rengin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karışımı olan magenta renginde görünür.</w:t>
            </w:r>
          </w:p>
          <w:p w14:paraId="2005636A" w14:textId="5C7D944F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68C92B3" wp14:editId="7C33D72E">
                  <wp:extent cx="3048000" cy="3705225"/>
                  <wp:effectExtent l="0" t="0" r="0" b="9525"/>
                  <wp:docPr id="6" name="Resim 6" descr="CİSİMLERİN RENKLİ GÖRÜNMESİNİN SEBEPLERİ CİSİMLER NEDEN RENKLİ GÖRÜNÜR  IŞIĞA GÖRE RENKLERİN DEĞİŞMESİ (FEN KONU ANLATIM FEN BİLİMLERİ DERSİ KONU  ANLATI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İSİMLERİN RENKLİ GÖRÜNMESİNİN SEBEPLERİ CİSİMLER NEDEN RENKLİ GÖRÜNÜR  IŞIĞA GÖRE RENKLERİN DEĞİŞMESİ (FEN KONU ANLATIM FEN BİLİMLERİ DERSİ KONU  ANLATI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940" w14:textId="44E2907F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DEE1D2" wp14:editId="7EF11D3D">
                  <wp:extent cx="2671539" cy="5038725"/>
                  <wp:effectExtent l="0" t="0" r="0" b="0"/>
                  <wp:docPr id="8" name="Resim 8" descr="Cisimlerin Işığı Yansıtması | Bilgicik.Com - Bilgic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simlerin Işığı Yansıtması | Bilgicik.Com - Bilgic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587" cy="50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2FF6C" w14:textId="7777777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  <w:t>Günlük Yaşamda Yansıma ve Soğurulma:</w:t>
            </w:r>
            <w:r w:rsidRPr="00586430">
              <w:rPr>
                <w:rFonts w:ascii="Comic Sans MS" w:eastAsiaTheme="minorHAnsi" w:hAnsi="Comic Sans MS" w:cs="CIDFont+F2"/>
                <w:sz w:val="20"/>
                <w:szCs w:val="20"/>
                <w:lang w:eastAsia="en-US"/>
              </w:rPr>
              <w:t xml:space="preserve"> Gökyüzünün mavi ve kırmızı görünmesi</w:t>
            </w:r>
          </w:p>
          <w:p w14:paraId="5142C94A" w14:textId="7E791BD1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Güneş’ten gelen ışığın rengi beyaz ise, gökyüzü neden mavi görünüyor? Işığın ortamda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farklı parçacıklarla etkileşerek dağınık bir şekilde etrafa yansıması saçılma olarak adlandırılır.</w:t>
            </w:r>
          </w:p>
          <w:p w14:paraId="46F1FF6F" w14:textId="101D2E95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Güneş’ten gelen ışınların atmosferdeki gaz ve tozlarla etkileşerek saçılır. Mor ışık en fazla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enerjiye sahip olan ışıktır ve ışığın enerjisi, rengi mordan kırmızıya gittikçe azalır. Gelen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ışının enerjisi ne kadar fazla ise saçılma miktarı o kadar fazla olur. Buna göre, enerjisi daha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az olan sarı, kırmızı gibi renler daha az saçılarak yoluna devam eder. Mor ve mavi ise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atmosferdeki gaz ve tozlara çarparak saçılır. Sonuç olarak, gökyüzüne baktığımızda,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taneciklerden saçılan mavi rengi görürüz. Aslında mor ışınlar mavi ışınlardan daha çok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saçılır, fakat insan gözü mavi renge daha duyarlı olduğu için gökyüzünü mor değil, mavi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renkte görürüz.</w:t>
            </w:r>
          </w:p>
          <w:p w14:paraId="744176BF" w14:textId="6748897B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IDFont+F3" w:eastAsiaTheme="minorHAnsi" w:hAnsi="CIDFont+F3" w:cs="CIDFont+F3"/>
                <w:b/>
                <w:bCs/>
                <w:sz w:val="21"/>
                <w:szCs w:val="21"/>
              </w:rPr>
            </w:pPr>
            <w:r w:rsidRPr="00586430">
              <w:rPr>
                <w:rFonts w:ascii="CIDFont+F3" w:eastAsiaTheme="minorHAnsi" w:hAnsi="CIDFont+F3" w:cs="CIDFont+F3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64CF31F0" wp14:editId="5A282426">
                  <wp:extent cx="4629150" cy="2551711"/>
                  <wp:effectExtent l="0" t="0" r="0" b="127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898" cy="256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DF80F" w14:textId="7777777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  <w:lastRenderedPageBreak/>
              <w:t>Deniz ve okyanusların mavi renk görünmesi</w:t>
            </w:r>
          </w:p>
          <w:p w14:paraId="5DC0067B" w14:textId="76126523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Deniz ve okyanuslar sulardan oluşur. Suyun bir rengi yoktur fakat deniz ve okyanuslar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genellikle mavi olmak üzere renkli görünürler. Bunun birçok nedeni vardır.</w:t>
            </w:r>
          </w:p>
          <w:p w14:paraId="2ECDBF4E" w14:textId="262B1B5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Sığ denizlerde (genellikle 5 metreye kadar) Güneş’ten gelen ışınlar suyun içinden geçer ve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tabana ulaşır. Tabandan geri yansıyan ışınlar sudan çıkarak gözümüze gelir. Bu durumda bu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bölgelerde denizin rengi, taban ne renk ise o renk görünür. Çünkü ışınlar tabandaki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maddelerden yansırken o maddelerin rengindeki ışınlar yansır diğer ışınlar tabanda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soğurulur.</w:t>
            </w:r>
          </w:p>
          <w:p w14:paraId="7B11FDCC" w14:textId="7DB077F1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Derinlere gidildikçe, Güneş’ten gelen ışınların hepsi denizin içine geçemez ve enerjilerine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göre soğurulmaya başlarlar. İlk olarak kırmızı daha sonra sırasıyla turuncu, mor, sarı ve yeşil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soğurulur. Derinlik artıkça geriye yalnızca mavi renk kalır. Çok daha derine inildiğinde mavi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renk de soğrulur ve bu derinlikte deniz ve okyanusların içi karanlık olur.</w:t>
            </w:r>
          </w:p>
          <w:p w14:paraId="05CC0078" w14:textId="77777777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A461BB" w14:textId="75F6529B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Enerjisinin Günlük Yaşamda Kullanımı</w:t>
            </w:r>
          </w:p>
          <w:p w14:paraId="65462191" w14:textId="77777777" w:rsidR="00586430" w:rsidRPr="00586430" w:rsidRDefault="00586430" w:rsidP="00586430">
            <w:pPr>
              <w:shd w:val="clear" w:color="auto" w:fill="FFFFFF"/>
              <w:spacing w:after="225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Yenilenebilir enerji</w:t>
            </w:r>
          </w:p>
          <w:p w14:paraId="0473CB57" w14:textId="7580DBD9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Doğada miktarı azalmayan enerji kaynaklarına yenilenebilir enerji denir.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Yenilenebilir enerji doğal kaynaklardan elde edilir, zamanla yok olmaz.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Bu enerjiyi sürekli kullanmamız azalmasına neden olmaz.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Rüzgar enerjisi, güneş enerjisi, hidroelektrik enerji, biyokütle enerjisi, dalga enerjisi, jeotermal enerji yenilenebilir enerji kaynaklarıdır.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Fosil yakıtlar (Kömür, petrol, doğal gaz) yenilenemez enerji kaynaklarıdır.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</w:t>
            </w:r>
          </w:p>
          <w:p w14:paraId="694C8871" w14:textId="04645821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kullandığımız bütün enerjilerin kaynağıdır.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enerjisini doğrudan ya da dolaylı olarak kullanmaktayız.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enerjisinin kullanımı kolay ve maliyeti azdır.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enerjisinden ısı ve elektrik elde edilmektedir.</w:t>
            </w:r>
          </w:p>
          <w:p w14:paraId="381B4DF6" w14:textId="77777777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enerjisinin kullanım alanları</w:t>
            </w:r>
          </w:p>
          <w:p w14:paraId="0A8ABA53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pilleri sayesinde, güneş enerjisinden elektrik enerjisi elde ederiz.</w:t>
            </w:r>
          </w:p>
          <w:p w14:paraId="071AC178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pilleri hesap makinelerinde, yapay uydularda, güneş enerjisi santrallerinde kullanılır.</w:t>
            </w:r>
          </w:p>
          <w:p w14:paraId="287CDEBA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Evimizin çatılarına kurulan güneş enerji sistemleri sayesinde, sıcak su elde edebiliriz.</w:t>
            </w:r>
          </w:p>
          <w:p w14:paraId="59796002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fırınları sayesinde yemek yapabiliriz.</w:t>
            </w:r>
          </w:p>
          <w:p w14:paraId="20650FC9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ile deniz suyundan içme suyu elde edilebilir.</w:t>
            </w:r>
          </w:p>
          <w:p w14:paraId="601B4A70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Seraların ısıtılmasında yararlanılır.</w:t>
            </w:r>
          </w:p>
          <w:p w14:paraId="1203A247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ile çalışan otomobil, uçak yapılmıştır.</w:t>
            </w:r>
          </w:p>
          <w:p w14:paraId="30752D60" w14:textId="42CE2131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</w:p>
          <w:p w14:paraId="1A5A7C77" w14:textId="77777777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 neden tercih etmeliyiz</w:t>
            </w:r>
          </w:p>
          <w:p w14:paraId="1C65AABD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yenilenebilir enerjidir.</w:t>
            </w:r>
          </w:p>
          <w:p w14:paraId="0353CF68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çevreyi kirletmez, küresel  ısınmaya neden olmaz.</w:t>
            </w:r>
          </w:p>
          <w:p w14:paraId="41488BD8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Fosil yakıtların kullanımı azalır.</w:t>
            </w:r>
          </w:p>
          <w:p w14:paraId="1729A6C1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Ev ve ülke ekonomisine katkı sağlar</w:t>
            </w:r>
          </w:p>
          <w:p w14:paraId="58AF932F" w14:textId="77777777" w:rsidR="00586430" w:rsidRPr="00586430" w:rsidRDefault="00586430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</w:p>
          <w:p w14:paraId="0E725CC9" w14:textId="78DC3275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</w:p>
          <w:p w14:paraId="37FA9C79" w14:textId="154AFF72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Etrafımızdaki cisimleri görebilmemiz için cisimlerden ışığın yansıması gerekir.</w:t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Cisimlerin renkli görünmesinin nedeni bazı renkleri yansıtması, bazı renkleri de soğurmasıyla ilgilidir.</w:t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586430">
              <w:rPr>
                <w:rStyle w:val="Gl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Not: </w:t>
            </w:r>
            <w:r w:rsidRPr="00586430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Cisimleri yansıttığı renkte görünür.</w:t>
            </w:r>
          </w:p>
        </w:tc>
      </w:tr>
    </w:tbl>
    <w:p w14:paraId="6B62B17F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4DAE8989" w14:textId="77777777" w:rsidTr="00440F7E">
        <w:trPr>
          <w:trHeight w:val="1291"/>
          <w:jc w:val="center"/>
        </w:trPr>
        <w:tc>
          <w:tcPr>
            <w:tcW w:w="2405" w:type="dxa"/>
            <w:vAlign w:val="center"/>
          </w:tcPr>
          <w:p w14:paraId="44403858" w14:textId="77777777" w:rsidR="00E45E02" w:rsidRPr="00586430" w:rsidRDefault="00E45E02" w:rsidP="00EC64D7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6EBE4E53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5CFB580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5C729FFA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47027AB" w14:textId="77777777" w:rsidR="00E45E02" w:rsidRPr="00586430" w:rsidRDefault="00E45E02" w:rsidP="00EC64D7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3D06A46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1EB12319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BDF325F" w14:textId="2D89E8B5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00140CA3" w14:textId="77777777" w:rsidTr="00440F7E">
        <w:trPr>
          <w:trHeight w:val="811"/>
          <w:jc w:val="center"/>
        </w:trPr>
        <w:tc>
          <w:tcPr>
            <w:tcW w:w="2405" w:type="dxa"/>
            <w:vAlign w:val="center"/>
          </w:tcPr>
          <w:p w14:paraId="7C9C4C09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131DFA32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356CBC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02126056" w14:textId="77777777" w:rsidTr="00440F7E">
        <w:trPr>
          <w:trHeight w:val="633"/>
          <w:jc w:val="center"/>
        </w:trPr>
        <w:tc>
          <w:tcPr>
            <w:tcW w:w="2405" w:type="dxa"/>
            <w:vAlign w:val="center"/>
          </w:tcPr>
          <w:p w14:paraId="48991F85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051" w:type="dxa"/>
          </w:tcPr>
          <w:p w14:paraId="355B13C6" w14:textId="77777777" w:rsidR="00E45E02" w:rsidRPr="00586430" w:rsidRDefault="00E45E02" w:rsidP="00EC64D7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0668B6" w14:textId="77777777" w:rsidR="00E45E02" w:rsidRPr="00586430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0EEBBAB5" w14:textId="77777777" w:rsidR="00E45E02" w:rsidRPr="00586430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046658CC" w14:textId="77777777" w:rsidR="00E45E02" w:rsidRPr="00586430" w:rsidRDefault="00E45E02" w:rsidP="00E45E02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........................</w:t>
      </w:r>
    </w:p>
    <w:p w14:paraId="65692F92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Fen Bilimleri Öğretmeni   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Okul Müdürü   </w:t>
      </w:r>
    </w:p>
    <w:p w14:paraId="0A2D319E" w14:textId="6DA7DBD2" w:rsidR="00FA1CCD" w:rsidRPr="00586430" w:rsidRDefault="00FA1CCD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5BA8EB64" w14:textId="7A5B4EF0" w:rsidR="00C847F6" w:rsidRPr="00586430" w:rsidRDefault="00C847F6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1BF057CF" w14:textId="27BA30AA" w:rsidR="00C847F6" w:rsidRPr="00586430" w:rsidRDefault="00C847F6">
      <w:pPr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9" w:history="1">
        <w:r w:rsidRPr="00586430">
          <w:rPr>
            <w:rStyle w:val="Kpr"/>
            <w:rFonts w:ascii="Comic Sans MS" w:hAnsi="Comic Sans MS" w:cstheme="minorHAnsi"/>
            <w:b/>
            <w:bCs/>
            <w:color w:val="000000" w:themeColor="text1"/>
            <w:sz w:val="20"/>
            <w:szCs w:val="20"/>
          </w:rPr>
          <w:t>www.fenusbilim.com</w:t>
        </w:r>
      </w:hyperlink>
      <w:r w:rsidRPr="00586430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C847F6" w:rsidRPr="00586430" w:rsidSect="00E4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362"/>
    <w:multiLevelType w:val="multilevel"/>
    <w:tmpl w:val="33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1CD8"/>
    <w:multiLevelType w:val="multilevel"/>
    <w:tmpl w:val="98FEB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F7CAD"/>
    <w:multiLevelType w:val="multilevel"/>
    <w:tmpl w:val="791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2"/>
    <w:rsid w:val="00343EB2"/>
    <w:rsid w:val="00440F7E"/>
    <w:rsid w:val="00586430"/>
    <w:rsid w:val="00613DF0"/>
    <w:rsid w:val="0081426A"/>
    <w:rsid w:val="00C847F6"/>
    <w:rsid w:val="00E45E02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798"/>
  <w15:chartTrackingRefBased/>
  <w15:docId w15:val="{4099E0F2-5B33-41E1-A7F6-B6886C5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2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58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586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E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5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47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7F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40F7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864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86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nusbilim.com/2021/02/12/7-sinif-gunluk-pla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kursatymn14@gmail.com</cp:lastModifiedBy>
  <cp:revision>5</cp:revision>
  <dcterms:created xsi:type="dcterms:W3CDTF">2021-03-20T17:27:00Z</dcterms:created>
  <dcterms:modified xsi:type="dcterms:W3CDTF">2021-03-20T17:49:00Z</dcterms:modified>
</cp:coreProperties>
</file>